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15EA" w:rsidRDefault="003C15EA" w:rsidP="003C15EA">
      <w:pPr>
        <w:jc w:val="center"/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  <w:t xml:space="preserve">Проверка методики расчета на примере плиты </w:t>
      </w:r>
      <w:proofErr w:type="spellStart"/>
      <w:r w:rsidRPr="003C15EA"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  <w:t>Гиптон</w:t>
      </w:r>
      <w:proofErr w:type="spellEnd"/>
      <w:r w:rsidRPr="003C15EA"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  <w:t xml:space="preserve"> </w:t>
      </w:r>
      <w:proofErr w:type="spellStart"/>
      <w:r w:rsidRPr="003C15EA"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  <w:t>Эктив</w:t>
      </w:r>
      <w:proofErr w:type="spellEnd"/>
      <w:r w:rsidRPr="003C15EA"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  <w:t xml:space="preserve"> Эйр БИГ </w:t>
      </w:r>
      <w:proofErr w:type="spellStart"/>
      <w:r w:rsidRPr="003C15EA"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  <w:t>Кваттро</w:t>
      </w:r>
      <w:proofErr w:type="spellEnd"/>
      <w:r w:rsidRPr="003C15EA"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  <w:t xml:space="preserve"> 43 В1 2700х900х12,5 мм</w:t>
      </w:r>
    </w:p>
    <w:p w:rsidR="003C15EA" w:rsidRPr="003C15EA" w:rsidRDefault="003C15EA" w:rsidP="003C15EA">
      <w:pPr>
        <w:jc w:val="center"/>
        <w:rPr>
          <w:rFonts w:asciiTheme="majorHAnsi" w:eastAsia="Times New Roman" w:hAnsiTheme="majorHAnsi" w:cstheme="majorHAnsi"/>
          <w:b/>
          <w:bCs/>
          <w:sz w:val="28"/>
          <w:szCs w:val="28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ru-RU"/>
        </w:rPr>
        <w:t>Ссылка на продукт: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hyperlink r:id="rId5" w:history="1">
        <w:r w:rsidRPr="003C15EA">
          <w:rPr>
            <w:rStyle w:val="a6"/>
            <w:rFonts w:asciiTheme="majorHAnsi" w:eastAsia="Times New Roman" w:hAnsiTheme="majorHAnsi" w:cstheme="majorHAnsi"/>
            <w:sz w:val="24"/>
            <w:szCs w:val="24"/>
            <w:lang w:eastAsia="ru-RU"/>
          </w:rPr>
          <w:t>https://tuttiho.ru/product/gyptone-aktiv-airr-big-quattro-43-b1/</w:t>
        </w:r>
      </w:hyperlink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Введение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Проверка методики расчета будет осуществляться на примере плиты с известными характеристиками.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В качестве примера выбрана плита 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Гиптон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Эктив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Эйр БИГ 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Кваттро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43 В1 2700х900х12,5 мм с квадратной перфорацией 12х12, степень перфорации 18%. Производитель заявляет о обеспечении коэффициента звукопоглощения NRC = 0,65. На что предоставляет соответствующий сертификат.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Исходные данные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1. Размер плиты (L x W): 2700 мм x 900 мм (2,7 м x 0,9 м).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2. Толщина плиты (t): 12,5 мм (0,0125 м).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3. Размер отверстий: квадратные 12 мм x 12 мм (0,012 м x 0,012 м).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4. Степень перфорации (p): 18% (0,18).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5. Глубина воздушной полости (L): 70 мм (0,07 м).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6. Плотность плиты (p): 8,3 кг/м².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7. Плотность воздуха (ρ0): 1,21 кг/м³.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8. Скорость звука в воздухе (c0): 343 м/с.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Шаг 1. Расчет площади плиты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Площадь плит</w:t>
      </w:r>
      <w:r w:rsidR="00D60D94">
        <w:rPr>
          <w:rFonts w:asciiTheme="majorHAnsi" w:eastAsia="Times New Roman" w:hAnsiTheme="majorHAnsi" w:cstheme="majorHAnsi"/>
          <w:sz w:val="24"/>
          <w:szCs w:val="24"/>
          <w:lang w:eastAsia="ru-RU"/>
        </w:rPr>
        <w:t>ы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плиты = L x W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Подставляем значения: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плиты = 2,7 x 0,9 = 2,43 м²</w:t>
      </w:r>
    </w:p>
    <w:p w:rsid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>Шаг 2. Расчет площади отверстий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Площадь отверстий: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отверстий = p x 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плиты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отверстий = 0,18 x 2,43 = 0,4374 м²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>Шаг 3. Расчет площади одного отверстия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Площадь одного отверстия: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S</w:t>
      </w:r>
      <w:r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одного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отверстия = a x a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одного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отверстия = 0,012 x 0,012 = 0,000144 м²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Шаг 4. Определение количества отверстий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Количество отверстий: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N = 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отверстий / 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одного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отверстия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N = 0,4374 / 0,000144 = 3038 шт.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>Шаг 5. Расчет эквивалентного диаметра отверстий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Для квадратных отверстий эквивалентный диаметр: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d = 1,13 x a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d = 1,13 x 0,012 = 0,01356 м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Шаг 6. Расчет акустического сопротивления отверстий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Акустическое сопротивление: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R = (ρ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0 x c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0) / S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отверстий x (t / d + 1,7 / √ p)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1. Вычисляем t / d: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t / d = 0,0125 / 0,01356 = 0,9216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2. Вычисляем 1,7 / √ p: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√ p = √ 0,18 = 0,4243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1,7 / √ p = 1,7 / 0,4243 = 4,005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3. Суммируем: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t / d + 1,7 / √ p = 0,9216 + 4,005 = 4,9266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4. Вычисляем ρ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0 x c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0: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ρ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0 x c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0 = 1,21 x 343 = 415,03 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Па·с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/м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5. Вычисляем R: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R = (415,03 / 0,4374) x 4,9266 = 949,26 x 4,9266 = 4677,51 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Па·с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/м²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Шаг 7. Расчет резонансной частоты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Резонансная частота:</w:t>
      </w:r>
    </w:p>
    <w:p w:rsid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  <w:t>f</w:t>
      </w:r>
      <w:r w:rsidRPr="003C15EA"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  <w:t>0 = (c</w:t>
      </w:r>
      <w:r w:rsidRPr="003C15EA"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  <w:t>0 / 2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π</w:t>
      </w:r>
      <w:r w:rsidRPr="003C15EA"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  <w:t>) x √ (p x d / (t x (L + 0,85d)))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val="en-US"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1. Вычисляем L + 0,85d: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L + 0,85d = 0,07 + 0,85 x 0,01356 = 0,07 + 0,011526 = 0,081526 м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2. Вычисляем t x (L + 0,85d):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t x (L + 0,85d) = 0,0125 x 0,081526 = 0,001019 м²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3. Вычисляем p x d: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p x d = 0,18 x 0,01356 = 0,0024408 м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4. Подкоренное выражение: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(p x d) / (t x (L + 0,85d)) = 0,0024408 / 0,001019 = 2,395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5. Резонансная частота: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f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0 = (343 / 2π) x √ 2,395 = 54,59 x 1,547 = 84,5 Гц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Шаг 8. Расчет NRC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NRC (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Noise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Reduction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proofErr w:type="spellStart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Coefficient</w:t>
      </w:r>
      <w:proofErr w:type="spellEnd"/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) — это среднее значение коэффициентов звукопоглощения на частотах 250, 500, 1000 и 2000 Гц: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NRC = (α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250 + α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500 + α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1000 + α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 xml:space="preserve"> </w:t>
      </w: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2000) / 4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Для частот:</w:t>
      </w:r>
    </w:p>
    <w:p w:rsidR="003C15EA" w:rsidRPr="003C15EA" w:rsidRDefault="003C15EA" w:rsidP="003C15EA">
      <w:pPr>
        <w:pStyle w:val="a5"/>
        <w:numPr>
          <w:ilvl w:val="0"/>
          <w:numId w:val="23"/>
        </w:num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α250 = 0,40</w:t>
      </w:r>
    </w:p>
    <w:p w:rsidR="003C15EA" w:rsidRPr="003C15EA" w:rsidRDefault="003C15EA" w:rsidP="003C15EA">
      <w:pPr>
        <w:pStyle w:val="a5"/>
        <w:numPr>
          <w:ilvl w:val="0"/>
          <w:numId w:val="23"/>
        </w:num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α500 = 0,65</w:t>
      </w:r>
    </w:p>
    <w:p w:rsidR="003C15EA" w:rsidRPr="003C15EA" w:rsidRDefault="003C15EA" w:rsidP="003C15EA">
      <w:pPr>
        <w:pStyle w:val="a5"/>
        <w:numPr>
          <w:ilvl w:val="0"/>
          <w:numId w:val="23"/>
        </w:num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α1000 = 0,85</w:t>
      </w:r>
    </w:p>
    <w:p w:rsidR="003C15EA" w:rsidRPr="003C15EA" w:rsidRDefault="003C15EA" w:rsidP="003C15EA">
      <w:pPr>
        <w:pStyle w:val="a5"/>
        <w:numPr>
          <w:ilvl w:val="0"/>
          <w:numId w:val="23"/>
        </w:num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α2000 = 0,70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Среднее значение: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sz w:val="24"/>
          <w:szCs w:val="24"/>
          <w:lang w:eastAsia="ru-RU"/>
        </w:rPr>
        <w:t>NRC = (0,40 + 0,65 + 0,85 + 0,70) / 4 = 2,60 / 4 = 0,65</w:t>
      </w:r>
    </w:p>
    <w:p w:rsidR="003C15EA" w:rsidRPr="003C15EA" w:rsidRDefault="003C15EA" w:rsidP="003C15EA">
      <w:pPr>
        <w:rPr>
          <w:rFonts w:asciiTheme="majorHAnsi" w:eastAsia="Times New Roman" w:hAnsiTheme="majorHAnsi" w:cstheme="majorHAnsi"/>
          <w:sz w:val="24"/>
          <w:szCs w:val="24"/>
          <w:lang w:eastAsia="ru-RU"/>
        </w:rPr>
      </w:pPr>
    </w:p>
    <w:p w:rsidR="003C15EA" w:rsidRPr="003C15EA" w:rsidRDefault="003C15EA" w:rsidP="003C15EA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</w:pP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Итог: </w:t>
      </w: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методика расчета подтверждает, </w:t>
      </w: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>обеспечени</w:t>
      </w: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>е</w:t>
      </w:r>
      <w:r w:rsidRPr="003C15EA">
        <w:rPr>
          <w:rFonts w:asciiTheme="majorHAnsi" w:eastAsia="Times New Roman" w:hAnsiTheme="majorHAnsi" w:cstheme="majorHAnsi"/>
          <w:b/>
          <w:bCs/>
          <w:sz w:val="24"/>
          <w:szCs w:val="24"/>
          <w:lang w:eastAsia="ru-RU"/>
        </w:rPr>
        <w:t xml:space="preserve"> коэффициента звукопоглощения NRC = 0,65</w:t>
      </w:r>
    </w:p>
    <w:p w:rsidR="000A0378" w:rsidRPr="003C15EA" w:rsidRDefault="000A0378" w:rsidP="003C15EA">
      <w:pPr>
        <w:rPr>
          <w:rFonts w:asciiTheme="majorHAnsi" w:hAnsiTheme="majorHAnsi" w:cstheme="majorHAnsi"/>
        </w:rPr>
      </w:pPr>
    </w:p>
    <w:sectPr w:rsidR="000A0378" w:rsidRPr="003C1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17E2"/>
    <w:multiLevelType w:val="multilevel"/>
    <w:tmpl w:val="CAB8A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947CC"/>
    <w:multiLevelType w:val="multilevel"/>
    <w:tmpl w:val="680AB2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F0DB5"/>
    <w:multiLevelType w:val="multilevel"/>
    <w:tmpl w:val="155C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C59D0"/>
    <w:multiLevelType w:val="multilevel"/>
    <w:tmpl w:val="B02AEE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D6BA4"/>
    <w:multiLevelType w:val="multilevel"/>
    <w:tmpl w:val="968E47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B13B3D"/>
    <w:multiLevelType w:val="multilevel"/>
    <w:tmpl w:val="C45A40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413E2"/>
    <w:multiLevelType w:val="multilevel"/>
    <w:tmpl w:val="D98EA6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E761F1"/>
    <w:multiLevelType w:val="multilevel"/>
    <w:tmpl w:val="617C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70928"/>
    <w:multiLevelType w:val="multilevel"/>
    <w:tmpl w:val="C81208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F8122B"/>
    <w:multiLevelType w:val="multilevel"/>
    <w:tmpl w:val="6484B0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A40EB"/>
    <w:multiLevelType w:val="multilevel"/>
    <w:tmpl w:val="7C38D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A07B6C"/>
    <w:multiLevelType w:val="multilevel"/>
    <w:tmpl w:val="78CA67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3040D5"/>
    <w:multiLevelType w:val="multilevel"/>
    <w:tmpl w:val="FF10C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3465BB"/>
    <w:multiLevelType w:val="multilevel"/>
    <w:tmpl w:val="2168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3F4B3D"/>
    <w:multiLevelType w:val="multilevel"/>
    <w:tmpl w:val="451EF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3F5E98"/>
    <w:multiLevelType w:val="hybridMultilevel"/>
    <w:tmpl w:val="731C7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5490C"/>
    <w:multiLevelType w:val="multilevel"/>
    <w:tmpl w:val="3F3C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EE42A3"/>
    <w:multiLevelType w:val="multilevel"/>
    <w:tmpl w:val="721032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2426F9"/>
    <w:multiLevelType w:val="multilevel"/>
    <w:tmpl w:val="A206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7A231F"/>
    <w:multiLevelType w:val="multilevel"/>
    <w:tmpl w:val="23469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A871C3"/>
    <w:multiLevelType w:val="multilevel"/>
    <w:tmpl w:val="340E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BD1B09"/>
    <w:multiLevelType w:val="multilevel"/>
    <w:tmpl w:val="DB088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23950"/>
    <w:multiLevelType w:val="multilevel"/>
    <w:tmpl w:val="02F4CB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19"/>
  </w:num>
  <w:num w:numId="4">
    <w:abstractNumId w:val="12"/>
  </w:num>
  <w:num w:numId="5">
    <w:abstractNumId w:val="8"/>
  </w:num>
  <w:num w:numId="6">
    <w:abstractNumId w:val="5"/>
  </w:num>
  <w:num w:numId="7">
    <w:abstractNumId w:val="1"/>
  </w:num>
  <w:num w:numId="8">
    <w:abstractNumId w:val="18"/>
  </w:num>
  <w:num w:numId="9">
    <w:abstractNumId w:val="9"/>
  </w:num>
  <w:num w:numId="10">
    <w:abstractNumId w:val="0"/>
  </w:num>
  <w:num w:numId="11">
    <w:abstractNumId w:val="22"/>
  </w:num>
  <w:num w:numId="12">
    <w:abstractNumId w:val="6"/>
  </w:num>
  <w:num w:numId="13">
    <w:abstractNumId w:val="11"/>
  </w:num>
  <w:num w:numId="14">
    <w:abstractNumId w:val="2"/>
  </w:num>
  <w:num w:numId="15">
    <w:abstractNumId w:val="21"/>
  </w:num>
  <w:num w:numId="16">
    <w:abstractNumId w:val="3"/>
  </w:num>
  <w:num w:numId="17">
    <w:abstractNumId w:val="17"/>
  </w:num>
  <w:num w:numId="18">
    <w:abstractNumId w:val="14"/>
  </w:num>
  <w:num w:numId="19">
    <w:abstractNumId w:val="10"/>
  </w:num>
  <w:num w:numId="20">
    <w:abstractNumId w:val="20"/>
  </w:num>
  <w:num w:numId="21">
    <w:abstractNumId w:val="4"/>
  </w:num>
  <w:num w:numId="22">
    <w:abstractNumId w:val="1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78"/>
    <w:rsid w:val="000A0378"/>
    <w:rsid w:val="001F6B39"/>
    <w:rsid w:val="002C3233"/>
    <w:rsid w:val="003C15EA"/>
    <w:rsid w:val="00446999"/>
    <w:rsid w:val="00650C52"/>
    <w:rsid w:val="007378FA"/>
    <w:rsid w:val="008029C3"/>
    <w:rsid w:val="00D52C61"/>
    <w:rsid w:val="00D60D94"/>
    <w:rsid w:val="00E0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67E0"/>
  <w15:chartTrackingRefBased/>
  <w15:docId w15:val="{311F7FBB-0EE7-4590-866D-0D194844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69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469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0378"/>
    <w:rPr>
      <w:color w:val="808080"/>
    </w:rPr>
  </w:style>
  <w:style w:type="character" w:customStyle="1" w:styleId="mopen">
    <w:name w:val="mopen"/>
    <w:basedOn w:val="a0"/>
    <w:rsid w:val="000A0378"/>
  </w:style>
  <w:style w:type="character" w:customStyle="1" w:styleId="delimsizing">
    <w:name w:val="delimsizing"/>
    <w:basedOn w:val="a0"/>
    <w:rsid w:val="000A0378"/>
  </w:style>
  <w:style w:type="character" w:customStyle="1" w:styleId="mord">
    <w:name w:val="mord"/>
    <w:basedOn w:val="a0"/>
    <w:rsid w:val="000A0378"/>
  </w:style>
  <w:style w:type="character" w:customStyle="1" w:styleId="vlist-s">
    <w:name w:val="vlist-s"/>
    <w:basedOn w:val="a0"/>
    <w:rsid w:val="000A0378"/>
  </w:style>
  <w:style w:type="character" w:customStyle="1" w:styleId="mclose">
    <w:name w:val="mclose"/>
    <w:basedOn w:val="a0"/>
    <w:rsid w:val="000A0378"/>
  </w:style>
  <w:style w:type="character" w:customStyle="1" w:styleId="mbin">
    <w:name w:val="mbin"/>
    <w:basedOn w:val="a0"/>
    <w:rsid w:val="000A0378"/>
  </w:style>
  <w:style w:type="character" w:customStyle="1" w:styleId="mrel">
    <w:name w:val="mrel"/>
    <w:basedOn w:val="a0"/>
    <w:rsid w:val="000A0378"/>
  </w:style>
  <w:style w:type="character" w:customStyle="1" w:styleId="mpunct">
    <w:name w:val="mpunct"/>
    <w:basedOn w:val="a0"/>
    <w:rsid w:val="000A0378"/>
  </w:style>
  <w:style w:type="character" w:customStyle="1" w:styleId="20">
    <w:name w:val="Заголовок 2 Знак"/>
    <w:basedOn w:val="a0"/>
    <w:link w:val="2"/>
    <w:uiPriority w:val="9"/>
    <w:rsid w:val="004469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69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446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C15E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C15E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C1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ttiho.ru/product/gyptone-aktiv-airr-big-quattro-43-b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notengo</dc:creator>
  <cp:keywords/>
  <dc:description/>
  <cp:lastModifiedBy>notengo</cp:lastModifiedBy>
  <cp:revision>3</cp:revision>
  <dcterms:created xsi:type="dcterms:W3CDTF">2024-11-21T13:56:00Z</dcterms:created>
  <dcterms:modified xsi:type="dcterms:W3CDTF">2024-11-21T16:15:00Z</dcterms:modified>
</cp:coreProperties>
</file>